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0" w:before="0"/>
      </w:pPr>
      <w:r>
        <w:t xml:space="preserve"/>
      </w:r>
    </w:p>
    <w:p>
      <w:pPr>
        <w:spacing w:after="320" w:before="0"/>
        <w:jc w:val="center"/>
      </w:pPr>
      <w:r>
        <w:rPr>
          <w:b/>
          <w:bCs/>
          <w:color w:val="0D1B3E"/>
          <w:sz w:val="60"/>
          <w:szCs w:val="60"/>
        </w:rPr>
        <w:t xml:space="preserve">Managing Power Platform Environments: Best Practices</w:t>
      </w:r>
    </w:p>
    <w:p>
      <w:pPr>
        <w:spacing w:after="160" w:before="0"/>
        <w:jc w:val="center"/>
      </w:pPr>
      <w:r>
        <w:rPr>
          <w:b/>
          <w:bCs/>
          <w:color w:val="4169E1"/>
          <w:sz w:val="32"/>
          <w:szCs w:val="32"/>
        </w:rPr>
        <w:t xml:space="preserve">Power Platform MS</w:t>
      </w:r>
    </w:p>
    <w:p>
      <w:pPr>
        <w:spacing w:after="160" w:before="0"/>
        <w:jc w:val="center"/>
      </w:pPr>
      <w:r>
        <w:rPr>
          <w:color w:val="888888"/>
          <w:sz w:val="24"/>
          <w:szCs w:val="24"/>
        </w:rPr>
        <w:t xml:space="preserve">Published: 10 September 2025</w:t>
      </w:r>
    </w:p>
    <w:p>
      <w:pPr>
        <w:spacing w:after="600" w:before="0"/>
        <w:jc w:val="center"/>
      </w:pPr>
      <w:r>
        <w:rPr>
          <w:color w:val="888888"/>
          <w:sz w:val="22"/>
          <w:szCs w:val="22"/>
        </w:rPr>
        <w:t xml:space="preserve">935 downloads</w:t>
      </w:r>
    </w:p>
    <w:p>
      <w:pPr>
        <w:pBdr>
          <w:bottom w:val="single" w:color="4169E1" w:sz="2"/>
        </w:pBdr>
        <w:spacing w:after="400" w:before="0"/>
      </w:pPr>
    </w:p>
    <w:p>
      <w:pPr>
        <w:spacing w:after="800" w:before="0"/>
        <w:jc w:val="center"/>
      </w:pPr>
      <w:r>
        <w:rPr>
          <w:i/>
          <w:iCs/>
          <w:color w:val="444444"/>
          <w:sz w:val="26"/>
          <w:szCs w:val="26"/>
        </w:rPr>
        <w:t xml:space="preserve">A practical governance guide for Power Platform environment management — covering environment types, ALM strategy, DLP policies, the environment request process, and how to scale governance without blocking innovation.</w:t>
      </w:r>
    </w:p>
    <w:p>
      <w:r>
        <w:br w:type="page"/>
      </w:r>
    </w:p>
    <w:p>
      <w:pPr>
        <w:pStyle w:val="Heading2"/>
        <w:spacing w:after="160" w:before="360"/>
      </w:pPr>
      <w:r>
        <w:rPr>
          <w:b/>
          <w:bCs/>
          <w:color w:val="4169E1"/>
          <w:sz w:val="36"/>
          <w:szCs w:val="36"/>
        </w:rPr>
        <w:t xml:space="preserve">The Four Environment Types and When to Use Each</w:t>
      </w:r>
    </w:p>
    <w:p>
      <w:pPr>
        <w:spacing w:after="100" w:before="100"/>
      </w:pPr>
      <w:r>
        <w:t xml:space="preserve">Power Platform environments are isolated containers for apps, flows, and data. Understanding the four types — and when to use each — is foundational to any governance strategy.</w:t>
      </w:r>
    </w:p>
    <w:p>
      <w:pPr>
        <w:spacing w:after="100" w:before="100"/>
      </w:pPr>
      <w:r>
        <w:t xml:space="preserve">| Environment Type | Use Case | Dataverse Included |</w:t>
      </w:r>
    </w:p>
    <w:p>
      <w:pPr>
        <w:spacing w:after="100" w:before="100"/>
      </w:pPr>
      <w:r>
        <w:t xml:space="preserve">|-----------------|----------|-----------------|</w:t>
      </w:r>
    </w:p>
    <w:p>
      <w:pPr>
        <w:spacing w:after="100" w:before="100"/>
      </w:pPr>
      <w:r>
        <w:t xml:space="preserve">| </w:t>
      </w:r>
      <w:r>
        <w:rPr>
          <w:b/>
          <w:bCs/>
        </w:rPr>
        <w:t xml:space="preserve">Default</w:t>
      </w:r>
      <w:r>
        <w:t xml:space="preserve"> | Microsoft 365 integrated apps only | Yes (shared tenant DB) |</w:t>
      </w:r>
    </w:p>
    <w:p>
      <w:pPr>
        <w:spacing w:after="100" w:before="100"/>
      </w:pPr>
      <w:r>
        <w:t xml:space="preserve">| </w:t>
      </w:r>
      <w:r>
        <w:rPr>
          <w:b/>
          <w:bCs/>
        </w:rPr>
        <w:t xml:space="preserve">Developer</w:t>
      </w:r>
      <w:r>
        <w:t xml:space="preserve"> | Individual maker experimentation | Yes (isolated) |</w:t>
      </w:r>
    </w:p>
    <w:p>
      <w:pPr>
        <w:spacing w:after="100" w:before="100"/>
      </w:pPr>
      <w:r>
        <w:t xml:space="preserve">| </w:t>
      </w:r>
      <w:r>
        <w:rPr>
          <w:b/>
          <w:bCs/>
        </w:rPr>
        <w:t xml:space="preserve">Sandbox</w:t>
      </w:r>
      <w:r>
        <w:t xml:space="preserve"> | Testing, UAT, staging | Yes (isolated) |</w:t>
      </w:r>
    </w:p>
    <w:p>
      <w:pPr>
        <w:spacing w:after="100" w:before="100"/>
      </w:pPr>
      <w:r>
        <w:t xml:space="preserve">| </w:t>
      </w:r>
      <w:r>
        <w:rPr>
          <w:b/>
          <w:bCs/>
        </w:rPr>
        <w:t xml:space="preserve">Production</w:t>
      </w:r>
      <w:r>
        <w:t xml:space="preserve"> | Live business applications | Yes (isolated) |</w:t>
      </w:r>
    </w:p>
    <w:p>
      <w:pPr>
        <w:spacing w:after="100" w:before="100"/>
      </w:pPr>
      <w:r>
        <w:rPr>
          <w:b/>
          <w:bCs/>
        </w:rPr>
        <w:t xml:space="preserve">The default environment is not for production.</w:t>
      </w:r>
      <w:r>
        <w:t xml:space="preserve"> This is the most common governance failure we see. The default environment is shared by all users in the tenant, has no isolation, and cannot be deleted. Anything built in the default environment is accessible to the entire organisation. Reserve it for lightweight, informal tools only.</w:t>
      </w:r>
    </w:p>
    <w:p>
      <w:pPr>
        <w:spacing w:after="100" w:before="100"/>
      </w:pPr>
      <w:r>
        <w:rPr>
          <w:b/>
          <w:bCs/>
        </w:rPr>
        <w:t xml:space="preserve">Developer environments</w:t>
      </w:r>
      <w:r>
        <w:t xml:space="preserve"> are provisioned per-user and are free. Encourage all makers to work in their own developer environment, not the default.</w:t>
      </w:r>
    </w:p>
    <w:p>
      <w:pPr>
        <w:pStyle w:val="Heading2"/>
        <w:spacing w:after="160" w:before="360"/>
      </w:pPr>
      <w:r>
        <w:rPr>
          <w:b/>
          <w:bCs/>
          <w:color w:val="4169E1"/>
          <w:sz w:val="36"/>
          <w:szCs w:val="36"/>
        </w:rPr>
        <w:t xml:space="preserve">ALM Strategy — Development to Production Pipeline</w:t>
      </w:r>
    </w:p>
    <w:p>
      <w:pPr>
        <w:spacing w:after="100" w:before="100"/>
      </w:pPr>
      <w:r>
        <w:t xml:space="preserve">Application Lifecycle Management (ALM) is how you move solutions from development through testing to production safely. A basic three-environment strategy is the minimum recommended for any business-critical application:</w:t>
      </w:r>
    </w:p>
    <w:p>
      <w:pPr>
        <w:spacing w:after="100" w:before="100"/>
      </w:pPr>
      <w:r>
        <w:rPr>
          <w:b/>
          <w:bCs/>
        </w:rPr>
        <w:t xml:space="preserve">Development → Test/UAT → Production</w:t>
      </w:r>
    </w:p>
    <w:p>
      <w:pPr>
        <w:spacing w:after="100" w:before="100"/>
      </w:pPr>
      <w:r>
        <w:t xml:space="preserve">Each environment hosts an isolated copy of the solution. Changes move forward via managed solutions — never by direct editing in production.</w:t>
      </w:r>
    </w:p>
    <w:p>
      <w:pPr>
        <w:spacing w:after="100" w:before="100"/>
      </w:pPr>
      <w:r>
        <w:t xml:space="preserve">Key principles:</w:t>
      </w:r>
    </w:p>
    <w:p>
      <w:pPr>
        <w:pStyle w:val="ListParagraph"/>
        <w:numPr>
          <w:ilvl w:val="0"/>
          <w:numId w:val="1"/>
        </w:numPr>
        <w:spacing w:after="60" w:before="60"/>
        <w:ind w:left="360"/>
      </w:pPr>
      <w:r>
        <w:rPr>
          <w:b/>
          <w:bCs/>
        </w:rPr>
        <w:t xml:space="preserve">Never edit directly in production.</w:t>
      </w:r>
      <w:r>
        <w:t xml:space="preserve"> Make all changes in development, test in UAT, then deploy to production via managed solution import.</w:t>
      </w:r>
    </w:p>
    <w:p>
      <w:pPr>
        <w:pStyle w:val="ListParagraph"/>
        <w:numPr>
          <w:ilvl w:val="0"/>
          <w:numId w:val="1"/>
        </w:numPr>
        <w:spacing w:after="60" w:before="60"/>
        <w:ind w:left="360"/>
      </w:pPr>
      <w:r>
        <w:rPr>
          <w:b/>
          <w:bCs/>
        </w:rPr>
        <w:t xml:space="preserve">Use unmanaged solutions in development</w:t>
      </w:r>
      <w:r>
        <w:t xml:space="preserve">, managed solutions in test and production. Managed solutions provide version control, dependency tracking, and prevent accidental direct edits.</w:t>
      </w:r>
    </w:p>
    <w:p>
      <w:pPr>
        <w:pStyle w:val="ListParagraph"/>
        <w:numPr>
          <w:ilvl w:val="0"/>
          <w:numId w:val="1"/>
        </w:numPr>
        <w:spacing w:after="60" w:before="60"/>
        <w:ind w:left="360"/>
      </w:pPr>
      <w:r>
        <w:rPr>
          <w:b/>
          <w:bCs/>
        </w:rPr>
        <w:t xml:space="preserve">Use environment variables</w:t>
      </w:r>
      <w:r>
        <w:t xml:space="preserve"> for configuration differences (connection strings, SharePoint site URLs, API endpoints) so the same solution package works across environments without modification.</w:t>
      </w:r>
    </w:p>
    <w:p>
      <w:pPr>
        <w:pStyle w:val="ListParagraph"/>
        <w:numPr>
          <w:ilvl w:val="0"/>
          <w:numId w:val="1"/>
        </w:numPr>
        <w:spacing w:after="60" w:before="60"/>
        <w:ind w:left="360"/>
      </w:pPr>
      <w:r>
        <w:rPr>
          <w:b/>
          <w:bCs/>
        </w:rPr>
        <w:t xml:space="preserve">Use Power Platform Pipelines</w:t>
      </w:r>
      <w:r>
        <w:t xml:space="preserve"> (now generally available) to automate the promotion process from dev to test to production with approval gates.</w:t>
      </w:r>
    </w:p>
    <w:p>
      <w:pPr>
        <w:pBdr>
          <w:left w:val="thick" w:color="0D1B3E" w:sz="6"/>
        </w:pBdr>
        <w:shd w:fill="F0F4FF"/>
        <w:spacing w:after="160" w:before="160"/>
        <w:ind w:left="576" w:right="576"/>
      </w:pPr>
      <w:r>
        <w:rPr>
          <w:i/>
          <w:iCs/>
          <w:color w:val="555555"/>
        </w:rPr>
        <w:t xml:space="preserve">**The most common ALM mistake:** skipping UAT entirely and deploying directly from development to production. This creates risk and removes the ability to test in an environment that mirrors production configuration. Even a one-day UAT cycle is better than none.</w:t>
      </w:r>
    </w:p>
    <w:p>
      <w:pPr>
        <w:pStyle w:val="Heading2"/>
        <w:spacing w:after="160" w:before="360"/>
      </w:pPr>
      <w:r>
        <w:rPr>
          <w:b/>
          <w:bCs/>
          <w:color w:val="4169E1"/>
          <w:sz w:val="36"/>
          <w:szCs w:val="36"/>
        </w:rPr>
        <w:t xml:space="preserve">DLP Policies — What They Are and How to Set Them</w:t>
      </w:r>
    </w:p>
    <w:p>
      <w:pPr>
        <w:spacing w:after="100" w:before="100"/>
      </w:pPr>
      <w:r>
        <w:t xml:space="preserve">Data Loss Prevention (DLP) policies control which connectors can be used together within an app or flow. They are the primary tool for preventing data exfiltration from business systems to uncontrolled external services.</w:t>
      </w:r>
    </w:p>
    <w:p>
      <w:pPr>
        <w:spacing w:after="100" w:before="100"/>
      </w:pPr>
      <w:r>
        <w:t xml:space="preserve">Connectors are classified into three groups:</w:t>
      </w:r>
    </w:p>
    <w:p>
      <w:pPr>
        <w:pStyle w:val="ListParagraph"/>
        <w:numPr>
          <w:ilvl w:val="0"/>
          <w:numId w:val="1"/>
        </w:numPr>
        <w:spacing w:after="60" w:before="60"/>
        <w:ind w:left="360"/>
      </w:pPr>
      <w:r>
        <w:rPr>
          <w:b/>
          <w:bCs/>
        </w:rPr>
        <w:t xml:space="preserve">Business</w:t>
      </w:r>
      <w:r>
        <w:t xml:space="preserve"> — approved for use with business data (SharePoint, Dataverse, Outlook, Teams, Salesforce)</w:t>
      </w:r>
    </w:p>
    <w:p>
      <w:pPr>
        <w:pStyle w:val="ListParagraph"/>
        <w:numPr>
          <w:ilvl w:val="0"/>
          <w:numId w:val="1"/>
        </w:numPr>
        <w:spacing w:after="60" w:before="60"/>
        <w:ind w:left="360"/>
      </w:pPr>
      <w:r>
        <w:rPr>
          <w:b/>
          <w:bCs/>
        </w:rPr>
        <w:t xml:space="preserve">Non-business</w:t>
      </w:r>
      <w:r>
        <w:t xml:space="preserve"> — personal or consumer services (Twitter/X, personal Gmail, Dropbox personal)</w:t>
      </w:r>
    </w:p>
    <w:p>
      <w:pPr>
        <w:pStyle w:val="ListParagraph"/>
        <w:numPr>
          <w:ilvl w:val="0"/>
          <w:numId w:val="1"/>
        </w:numPr>
        <w:spacing w:after="60" w:before="60"/>
        <w:ind w:left="360"/>
      </w:pPr>
      <w:r>
        <w:rPr>
          <w:b/>
          <w:bCs/>
        </w:rPr>
        <w:t xml:space="preserve">Blocked</w:t>
      </w:r>
      <w:r>
        <w:t xml:space="preserve"> — connectors that cannot be used at all in this environment</w:t>
      </w:r>
    </w:p>
    <w:p>
      <w:pPr>
        <w:spacing w:after="100" w:before="100"/>
      </w:pPr>
      <w:r>
        <w:t xml:space="preserve">Connectors in different groups cannot be used together in the same app or flow. This prevents a flow from reading from SharePoint (Business) and posting to a personal consumer service (Non-business).</w:t>
      </w:r>
    </w:p>
    <w:p>
      <w:pPr>
        <w:spacing w:after="100" w:before="100"/>
      </w:pPr>
      <w:r>
        <w:rPr>
          <w:b/>
          <w:bCs/>
        </w:rPr>
        <w:t xml:space="preserve">Recommended UK governance approach:</w:t>
      </w:r>
    </w:p>
    <w:p>
      <w:pPr>
        <w:spacing w:after="100" w:before="100"/>
      </w:pPr>
      <w:r>
        <w:t xml:space="preserve">1. </w:t>
      </w:r>
      <w:r>
        <w:rPr>
          <w:b/>
          <w:bCs/>
        </w:rPr>
        <w:t xml:space="preserve">Default environment policy</w:t>
      </w:r>
      <w:r>
        <w:t xml:space="preserve"> — restrictive. Block all external non-Microsoft connectors. Only allow standard M365 connectors.</w:t>
      </w:r>
    </w:p>
    <w:p>
      <w:pPr>
        <w:spacing w:after="100" w:before="100"/>
      </w:pPr>
      <w:r>
        <w:t xml:space="preserve">2. </w:t>
      </w:r>
      <w:r>
        <w:rPr>
          <w:b/>
          <w:bCs/>
        </w:rPr>
        <w:t xml:space="preserve">Sandbox/UAT policy</w:t>
      </w:r>
      <w:r>
        <w:t xml:space="preserve"> — moderate. Allow testing of premium connectors with appropriate justification.</w:t>
      </w:r>
    </w:p>
    <w:p>
      <w:pPr>
        <w:spacing w:after="100" w:before="100"/>
      </w:pPr>
      <w:r>
        <w:t xml:space="preserve">3. </w:t>
      </w:r>
      <w:r>
        <w:rPr>
          <w:b/>
          <w:bCs/>
        </w:rPr>
        <w:t xml:space="preserve">Production policy</w:t>
      </w:r>
      <w:r>
        <w:t xml:space="preserve"> — specific. Allow only the connectors required for the approved use cases in that environment.</w:t>
      </w:r>
    </w:p>
    <w:p>
      <w:pPr>
        <w:spacing w:after="100" w:before="100"/>
      </w:pPr>
      <w:r>
        <w:t xml:space="preserve">Manage DLP policies from the Power Platform admin centre. Use the </w:t>
      </w:r>
      <w:r>
        <w:rPr>
          <w:b/>
          <w:bCs/>
        </w:rPr>
        <w:t xml:space="preserve">CoE Starter Kit</w:t>
      </w:r>
      <w:r>
        <w:t xml:space="preserve"> compliance process toolkit for environments where governance at scale is required.</w:t>
      </w:r>
    </w:p>
    <w:p>
      <w:pPr>
        <w:pStyle w:val="Heading2"/>
        <w:spacing w:after="160" w:before="360"/>
      </w:pPr>
      <w:r>
        <w:rPr>
          <w:b/>
          <w:bCs/>
          <w:color w:val="4169E1"/>
          <w:sz w:val="36"/>
          <w:szCs w:val="36"/>
        </w:rPr>
        <w:t xml:space="preserve">Environment Request Process</w:t>
      </w:r>
    </w:p>
    <w:p>
      <w:pPr>
        <w:spacing w:after="100" w:before="100"/>
      </w:pPr>
      <w:r>
        <w:t xml:space="preserve">Without a structured request process, makers create environments ad hoc, DLP policies become inconsistent, and capacity is consumed by abandoned projects.</w:t>
      </w:r>
    </w:p>
    <w:p>
      <w:pPr>
        <w:spacing w:after="100" w:before="100"/>
      </w:pPr>
      <w:r>
        <w:t xml:space="preserve">A lightweight environment request process:</w:t>
      </w:r>
    </w:p>
    <w:p>
      <w:pPr>
        <w:spacing w:after="100" w:before="100"/>
      </w:pPr>
      <w:r>
        <w:t xml:space="preserve">1. </w:t>
      </w:r>
      <w:r>
        <w:rPr>
          <w:b/>
          <w:bCs/>
        </w:rPr>
        <w:t xml:space="preserve">Request form</w:t>
      </w:r>
      <w:r>
        <w:t xml:space="preserve"> — a simple Power Apps canvas app captures: requester, department, purpose, expected user count, data sensitivity, and timeline.</w:t>
      </w:r>
    </w:p>
    <w:p>
      <w:pPr>
        <w:spacing w:after="100" w:before="100"/>
      </w:pPr>
      <w:r>
        <w:t xml:space="preserve">2. </w:t>
      </w:r>
      <w:r>
        <w:rPr>
          <w:b/>
          <w:bCs/>
        </w:rPr>
        <w:t xml:space="preserve">Approval flow</w:t>
      </w:r>
      <w:r>
        <w:t xml:space="preserve"> — a Power Automate approval workflow routes the request to the IT/Platform team.</w:t>
      </w:r>
    </w:p>
    <w:p>
      <w:pPr>
        <w:spacing w:after="100" w:before="100"/>
      </w:pPr>
      <w:r>
        <w:t xml:space="preserve">3. </w:t>
      </w:r>
      <w:r>
        <w:rPr>
          <w:b/>
          <w:bCs/>
        </w:rPr>
        <w:t xml:space="preserve">Automated provisioning</w:t>
      </w:r>
      <w:r>
        <w:t xml:space="preserve"> — approved requests trigger environment creation via the Power Platform admin connector or via PowerShell/CLI.</w:t>
      </w:r>
    </w:p>
    <w:p>
      <w:pPr>
        <w:spacing w:after="100" w:before="100"/>
      </w:pPr>
      <w:r>
        <w:t xml:space="preserve">4. </w:t>
      </w:r>
      <w:r>
        <w:rPr>
          <w:b/>
          <w:bCs/>
        </w:rPr>
        <w:t xml:space="preserve">Automatic DLP assignment</w:t>
      </w:r>
      <w:r>
        <w:t xml:space="preserve"> — the new environment is assigned to the appropriate DLP policy based on the request type.</w:t>
      </w:r>
    </w:p>
    <w:p>
      <w:pPr>
        <w:spacing w:after="100" w:before="100"/>
      </w:pPr>
      <w:r>
        <w:t xml:space="preserve">5. </w:t>
      </w:r>
      <w:r>
        <w:rPr>
          <w:b/>
          <w:bCs/>
        </w:rPr>
        <w:t xml:space="preserve">Regular review</w:t>
      </w:r>
      <w:r>
        <w:t xml:space="preserve"> — environments with no activity for 90 days are flagged for archival or deletion.</w:t>
      </w:r>
    </w:p>
    <w:p>
      <w:pPr>
        <w:spacing w:after="100" w:before="100"/>
      </w:pPr>
      <w:r>
        <w:t xml:space="preserve">This process can be built entirely within Power Platform — an early win for demonstrating the platform's value while solving a real governance problem.</w:t>
      </w:r>
    </w:p>
    <w:p>
      <w:pPr>
        <w:pStyle w:val="Heading2"/>
        <w:spacing w:after="160" w:before="360"/>
      </w:pPr>
      <w:r>
        <w:rPr>
          <w:b/>
          <w:bCs/>
          <w:color w:val="4169E1"/>
          <w:sz w:val="36"/>
          <w:szCs w:val="36"/>
        </w:rPr>
        <w:t xml:space="preserve">Monitoring and Governance at Scale</w:t>
      </w:r>
    </w:p>
    <w:p>
      <w:pPr>
        <w:spacing w:after="100" w:before="100"/>
      </w:pPr>
      <w:r>
        <w:t xml:space="preserve">As your Power Platform footprint grows, manual oversight becomes unworkable. Invest in monitoring infrastructure early.</w:t>
      </w:r>
    </w:p>
    <w:p>
      <w:pPr>
        <w:spacing w:after="100" w:before="100"/>
      </w:pPr>
      <w:r>
        <w:rPr>
          <w:b/>
          <w:bCs/>
        </w:rPr>
        <w:t xml:space="preserve">Power Platform admin centre analytics</w:t>
      </w:r>
      <w:r>
        <w:t xml:space="preserve"> provides:</w:t>
      </w:r>
    </w:p>
    <w:p>
      <w:pPr>
        <w:pStyle w:val="ListParagraph"/>
        <w:numPr>
          <w:ilvl w:val="0"/>
          <w:numId w:val="1"/>
        </w:numPr>
        <w:spacing w:after="60" w:before="60"/>
        <w:ind w:left="360"/>
      </w:pPr>
      <w:r>
        <w:t xml:space="preserve">Environment-level app and flow usage</w:t>
      </w:r>
    </w:p>
    <w:p>
      <w:pPr>
        <w:pStyle w:val="ListParagraph"/>
        <w:numPr>
          <w:ilvl w:val="0"/>
          <w:numId w:val="1"/>
        </w:numPr>
        <w:spacing w:after="60" w:before="60"/>
        <w:ind w:left="360"/>
      </w:pPr>
      <w:r>
        <w:t xml:space="preserve">Connector usage across the tenant</w:t>
      </w:r>
    </w:p>
    <w:p>
      <w:pPr>
        <w:pStyle w:val="ListParagraph"/>
        <w:numPr>
          <w:ilvl w:val="0"/>
          <w:numId w:val="1"/>
        </w:numPr>
        <w:spacing w:after="60" w:before="60"/>
        <w:ind w:left="360"/>
      </w:pPr>
      <w:r>
        <w:t xml:space="preserve">Capacity consumption by environment</w:t>
      </w:r>
    </w:p>
    <w:p>
      <w:pPr>
        <w:pStyle w:val="ListParagraph"/>
        <w:numPr>
          <w:ilvl w:val="0"/>
          <w:numId w:val="1"/>
        </w:numPr>
        <w:spacing w:after="60" w:before="60"/>
        <w:ind w:left="360"/>
      </w:pPr>
      <w:r>
        <w:t xml:space="preserve">User activity and adoption trends</w:t>
      </w:r>
    </w:p>
    <w:p>
      <w:pPr>
        <w:spacing w:after="100" w:before="100"/>
      </w:pPr>
      <w:r>
        <w:rPr>
          <w:b/>
          <w:bCs/>
        </w:rPr>
        <w:t xml:space="preserve">The CoE Starter Kit</w:t>
      </w:r>
      <w:r>
        <w:t xml:space="preserve"> (free, from Microsoft) extends admin centre visibility with:</w:t>
      </w:r>
    </w:p>
    <w:p>
      <w:pPr>
        <w:pStyle w:val="ListParagraph"/>
        <w:numPr>
          <w:ilvl w:val="0"/>
          <w:numId w:val="1"/>
        </w:numPr>
        <w:spacing w:after="60" w:before="60"/>
        <w:ind w:left="360"/>
      </w:pPr>
      <w:r>
        <w:t xml:space="preserve">Full inventory of all apps, flows, makers, and connectors across the tenant</w:t>
      </w:r>
    </w:p>
    <w:p>
      <w:pPr>
        <w:pStyle w:val="ListParagraph"/>
        <w:numPr>
          <w:ilvl w:val="0"/>
          <w:numId w:val="1"/>
        </w:numPr>
        <w:spacing w:after="60" w:before="60"/>
        <w:ind w:left="360"/>
      </w:pPr>
      <w:r>
        <w:t xml:space="preserve">Risk scoring for high-impact apps without proper ownership</w:t>
      </w:r>
    </w:p>
    <w:p>
      <w:pPr>
        <w:pStyle w:val="ListParagraph"/>
        <w:numPr>
          <w:ilvl w:val="0"/>
          <w:numId w:val="1"/>
        </w:numPr>
        <w:spacing w:after="60" w:before="60"/>
        <w:ind w:left="360"/>
      </w:pPr>
      <w:r>
        <w:t xml:space="preserve">Maker onboarding journeys and training tracking</w:t>
      </w:r>
    </w:p>
    <w:p>
      <w:pPr>
        <w:pStyle w:val="ListParagraph"/>
        <w:numPr>
          <w:ilvl w:val="0"/>
          <w:numId w:val="1"/>
        </w:numPr>
        <w:spacing w:after="60" w:before="60"/>
        <w:ind w:left="360"/>
      </w:pPr>
      <w:r>
        <w:t xml:space="preserve">Environment request and governance workflow templates</w:t>
      </w:r>
    </w:p>
    <w:p>
      <w:pPr>
        <w:pBdr>
          <w:left w:val="thick" w:color="0D1B3E" w:sz="6"/>
        </w:pBdr>
        <w:shd w:fill="F0F4FF"/>
        <w:spacing w:after="160" w:before="160"/>
        <w:ind w:left="576" w:right="576"/>
      </w:pPr>
      <w:r>
        <w:rPr>
          <w:i/>
          <w:iCs/>
          <w:color w:val="555555"/>
        </w:rPr>
        <w:t xml:space="preserve">**Priority #1:** Ensure every production app has a named owner in the CoE inventory. Apps without owners create significant risk — if the original maker leaves the organisation, there is no one to support, update, or decommission the app safely.</w:t>
      </w:r>
    </w:p>
    <w:p>
      <w:pPr>
        <w:spacing w:after="100" w:before="100"/>
      </w:pPr>
      <w:r>
        <w:rPr>
          <w:b/>
          <w:bCs/>
        </w:rPr>
        <w:t xml:space="preserve">Set capacity alerts.</w:t>
      </w:r>
      <w:r>
        <w:t xml:space="preserve"> Configure alerts in the admin centre to notify when any environment approaches 80% of its Dataverse capacity. Capacity surprises at billing time are avoidable.</w:t>
      </w:r>
    </w:p>
    <w:p>
      <w:pPr>
        <w:pStyle w:val="Heading2"/>
        <w:spacing w:after="160" w:before="360"/>
      </w:pPr>
      <w:r>
        <w:rPr>
          <w:b/>
          <w:bCs/>
          <w:color w:val="4169E1"/>
          <w:sz w:val="36"/>
          <w:szCs w:val="36"/>
        </w:rPr>
        <w:t xml:space="preserve">Common Environment Governance Failures</w:t>
      </w:r>
    </w:p>
    <w:p>
      <w:pPr>
        <w:pStyle w:val="ListParagraph"/>
        <w:numPr>
          <w:ilvl w:val="0"/>
          <w:numId w:val="1"/>
        </w:numPr>
        <w:spacing w:after="60" w:before="60"/>
        <w:ind w:left="360"/>
      </w:pPr>
      <w:r>
        <w:t xml:space="preserve">Building production workloads in the default environment</w:t>
      </w:r>
    </w:p>
    <w:p>
      <w:pPr>
        <w:pStyle w:val="ListParagraph"/>
        <w:numPr>
          <w:ilvl w:val="0"/>
          <w:numId w:val="1"/>
        </w:numPr>
        <w:spacing w:after="60" w:before="60"/>
        <w:ind w:left="360"/>
      </w:pPr>
      <w:r>
        <w:t xml:space="preserve">Sharing service account credentials for connectors instead of using service principals</w:t>
      </w:r>
    </w:p>
    <w:p>
      <w:pPr>
        <w:pStyle w:val="ListParagraph"/>
        <w:numPr>
          <w:ilvl w:val="0"/>
          <w:numId w:val="1"/>
        </w:numPr>
        <w:spacing w:after="60" w:before="60"/>
        <w:ind w:left="360"/>
      </w:pPr>
      <w:r>
        <w:t xml:space="preserve">Creating environments for every project without a decommission plan</w:t>
      </w:r>
    </w:p>
    <w:p>
      <w:pPr>
        <w:pStyle w:val="ListParagraph"/>
        <w:numPr>
          <w:ilvl w:val="0"/>
          <w:numId w:val="1"/>
        </w:numPr>
        <w:spacing w:after="60" w:before="60"/>
        <w:ind w:left="360"/>
      </w:pPr>
      <w:r>
        <w:t xml:space="preserve">Not applying DLP policies to new environments before makers start building</w:t>
      </w:r>
    </w:p>
    <w:p>
      <w:pPr>
        <w:pStyle w:val="ListParagraph"/>
        <w:numPr>
          <w:ilvl w:val="0"/>
          <w:numId w:val="1"/>
        </w:numPr>
        <w:spacing w:after="60" w:before="60"/>
        <w:ind w:left="360"/>
      </w:pPr>
      <w:r>
        <w:t xml:space="preserve">Having no documented owner for production applications</w:t>
      </w:r>
    </w:p>
    <w:p>
      <w:pPr>
        <w:pBdr>
          <w:top w:val="single" w:color="CCCCCC" w:sz="1"/>
        </w:pBdr>
        <w:spacing w:after="120" w:before="600"/>
      </w:pPr>
    </w:p>
    <w:p>
      <w:pPr>
        <w:jc w:val="center"/>
      </w:pPr>
      <w:r>
        <w:rPr>
          <w:color w:val="999999"/>
          <w:sz w:val="18"/>
          <w:szCs w:val="18"/>
        </w:rPr>
        <w:t xml:space="preserve">© Power Platform MS  |  powerplatformms.co.uk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2026-08-19T11:01:23.739Z</dcterms:created>
  <dcterms:modified xsi:type="dcterms:W3CDTF">2026-08-19T11:01:23.739Z</dcterms:modified>
</cp:coreProperties>
</file>

<file path=docProps/custom.xml><?xml version="1.0" encoding="utf-8"?>
<Properties xmlns="http://schemas.openxmlformats.org/officeDocument/2006/custom-properties" xmlns:vt="http://schemas.openxmlformats.org/officeDocument/2006/docPropsVTypes"/>
</file>