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0" w:before="0"/>
      </w:pPr>
      <w:r>
        <w:t xml:space="preserve"/>
      </w:r>
    </w:p>
    <w:p>
      <w:pPr>
        <w:spacing w:after="320" w:before="0"/>
        <w:jc w:val="center"/>
      </w:pPr>
      <w:r>
        <w:rPr>
          <w:b/>
          <w:bCs/>
          <w:color w:val="0D1B3E"/>
          <w:sz w:val="60"/>
          <w:szCs w:val="60"/>
        </w:rPr>
        <w:t xml:space="preserve">How to Migrate from Microsoft Access to Power Platform: A Step-by-Step Guide for UK Businesses</w:t>
      </w:r>
    </w:p>
    <w:p>
      <w:pPr>
        <w:spacing w:after="160" w:before="0"/>
        <w:jc w:val="center"/>
      </w:pPr>
      <w:r>
        <w:rPr>
          <w:b/>
          <w:bCs/>
          <w:color w:val="4169E1"/>
          <w:sz w:val="32"/>
          <w:szCs w:val="32"/>
        </w:rPr>
        <w:t xml:space="preserve">Power Platform MS</w:t>
      </w:r>
    </w:p>
    <w:p>
      <w:pPr>
        <w:spacing w:after="160" w:before="0"/>
        <w:jc w:val="center"/>
      </w:pPr>
      <w:r>
        <w:rPr>
          <w:color w:val="888888"/>
          <w:sz w:val="24"/>
          <w:szCs w:val="24"/>
        </w:rPr>
        <w:t xml:space="preserve">Published: 8 July 2026</w:t>
      </w:r>
    </w:p>
    <w:p>
      <w:pPr>
        <w:spacing w:after="600" w:before="0"/>
        <w:jc w:val="center"/>
      </w:pPr>
      <w:r>
        <w:rPr>
          <w:color w:val="888888"/>
          <w:sz w:val="22"/>
          <w:szCs w:val="22"/>
        </w:rPr>
        <w:t xml:space="preserve">0 downloads</w:t>
      </w:r>
    </w:p>
    <w:p>
      <w:pPr>
        <w:pBdr>
          <w:bottom w:val="single" w:color="4169E1" w:sz="2"/>
        </w:pBdr>
        <w:spacing w:after="400" w:before="0"/>
      </w:pPr>
    </w:p>
    <w:p>
      <w:pPr>
        <w:spacing w:after="800" w:before="0"/>
        <w:jc w:val="center"/>
      </w:pPr>
      <w:r>
        <w:rPr>
          <w:i/>
          <w:iCs/>
          <w:color w:val="444444"/>
          <w:sz w:val="26"/>
          <w:szCs w:val="26"/>
        </w:rPr>
        <w:t xml:space="preserve">A practical, step-by-step guide to migrating Microsoft Access databases and applications to Power Platform. Covers assessment, Dataverse design, data migration, rebuilding forms and macros, testing, go-live and licensing for UK organisations.</w:t>
      </w:r>
    </w:p>
    <w:p>
      <w:r>
        <w:br w:type="page"/>
      </w:r>
    </w:p>
    <w:p>
      <w:pPr>
        <w:pStyle w:val="Heading2"/>
        <w:spacing w:after="160" w:before="360"/>
      </w:pPr>
      <w:r>
        <w:rPr>
          <w:b/>
          <w:bCs/>
          <w:color w:val="4169E1"/>
          <w:sz w:val="36"/>
          <w:szCs w:val="36"/>
        </w:rPr>
        <w:t xml:space="preserve">Who This Guide Is For</w:t>
      </w:r>
    </w:p>
    <w:p>
      <w:pPr>
        <w:spacing w:after="100" w:before="100"/>
      </w:pPr>
      <w:r>
        <w:t xml:space="preserve">This guide is written for UK business owners, operations managers and IT leads who rely on a Microsoft Access database and are weighing up a move to Power Platform. You do not need to be technical to follow it. By the end you will understand exactly what a migration involves, how to plan one, and how to avoid the mistakes that catch businesses out.</w:t>
      </w:r>
    </w:p>
    <w:p>
      <w:pPr>
        <w:spacing w:after="100" w:before="100"/>
      </w:pPr>
      <w:r>
        <w:t xml:space="preserve">If you want the strategic case for switching first, read our companion article on the value and benefits of migrating from Access to Power Platform. This guide focuses on the how.</w:t>
      </w:r>
    </w:p>
    <w:p>
      <w:pPr>
        <w:pStyle w:val="Heading2"/>
        <w:spacing w:after="160" w:before="360"/>
      </w:pPr>
      <w:r>
        <w:rPr>
          <w:b/>
          <w:bCs/>
          <w:color w:val="4169E1"/>
          <w:sz w:val="36"/>
          <w:szCs w:val="36"/>
        </w:rPr>
        <w:t xml:space="preserve">Before You Start: Know What You Have</w:t>
      </w:r>
    </w:p>
    <w:p>
      <w:pPr>
        <w:spacing w:after="100" w:before="100"/>
      </w:pPr>
      <w:r>
        <w:t xml:space="preserve">The single biggest cause of a painful migration is starting without understanding the existing Access application. Before anything else, take stock of these five things.</w:t>
      </w:r>
    </w:p>
    <w:p>
      <w:pPr>
        <w:spacing w:after="100" w:before="100"/>
      </w:pPr>
      <w:r>
        <w:rPr>
          <w:b/>
          <w:bCs/>
        </w:rPr>
        <w:t xml:space="preserve">Tables and data.</w:t>
      </w:r>
      <w:r>
        <w:t xml:space="preserve"> How many tables are there, how are they related, and how much data sits in each. Note the total file size and how close it is to the 2GB limit.</w:t>
      </w:r>
    </w:p>
    <w:p>
      <w:pPr>
        <w:spacing w:after="100" w:before="100"/>
      </w:pPr>
      <w:r>
        <w:rPr>
          <w:b/>
          <w:bCs/>
        </w:rPr>
        <w:t xml:space="preserve">Forms.</w:t>
      </w:r>
      <w:r>
        <w:t xml:space="preserve"> Every screen users interact with. These become your Power Apps.</w:t>
      </w:r>
    </w:p>
    <w:p>
      <w:pPr>
        <w:spacing w:after="100" w:before="100"/>
      </w:pPr>
      <w:r>
        <w:rPr>
          <w:b/>
          <w:bCs/>
        </w:rPr>
        <w:t xml:space="preserve">Queries.</w:t>
      </w:r>
      <w:r>
        <w:t xml:space="preserve"> The saved queries that filter, join and summarise data. Many of these become Dataverse views or app logic.</w:t>
      </w:r>
    </w:p>
    <w:p>
      <w:pPr>
        <w:spacing w:after="100" w:before="100"/>
      </w:pPr>
      <w:r>
        <w:rPr>
          <w:b/>
          <w:bCs/>
        </w:rPr>
        <w:t xml:space="preserve">Macros and VBA.</w:t>
      </w:r>
      <w:r>
        <w:t xml:space="preserve"> The automation behind the buttons. This is often where the hidden complexity lives, and it becomes Power Automate.</w:t>
      </w:r>
    </w:p>
    <w:p>
      <w:pPr>
        <w:spacing w:after="100" w:before="100"/>
      </w:pPr>
      <w:r>
        <w:rPr>
          <w:b/>
          <w:bCs/>
        </w:rPr>
        <w:t xml:space="preserve">Reports.</w:t>
      </w:r>
      <w:r>
        <w:t xml:space="preserve"> Anything printed or exported. These usually become Power BI or app-based screens.</w:t>
      </w:r>
    </w:p>
    <w:p>
      <w:pPr>
        <w:spacing w:after="100" w:before="100"/>
      </w:pPr>
      <w:r>
        <w:t xml:space="preserve">Write all of this down. A simple inventory spreadsheet is enough. It becomes the specification for the new system and makes sure nothing is quietly lost in translation.</w:t>
      </w:r>
    </w:p>
    <w:p>
      <w:pPr>
        <w:pStyle w:val="Heading2"/>
        <w:spacing w:after="160" w:before="360"/>
      </w:pPr>
      <w:r>
        <w:rPr>
          <w:b/>
          <w:bCs/>
          <w:color w:val="4169E1"/>
          <w:sz w:val="36"/>
          <w:szCs w:val="36"/>
        </w:rPr>
        <w:t xml:space="preserve">Step 1: Assess and Scope the Project</w:t>
      </w:r>
    </w:p>
    <w:p>
      <w:pPr>
        <w:spacing w:after="100" w:before="100"/>
      </w:pPr>
      <w:r>
        <w:t xml:space="preserve">With your inventory in hand, decide what the new system needs to do. This is the moment to separate what the business actually needs from what the old database happened to do.</w:t>
      </w:r>
    </w:p>
    <w:p>
      <w:pPr>
        <w:spacing w:after="100" w:before="100"/>
      </w:pPr>
      <w:r>
        <w:t xml:space="preserve">Ask three questions of every feature:</w:t>
      </w:r>
    </w:p>
    <w:p>
      <w:pPr>
        <w:pStyle w:val="ListParagraph"/>
        <w:numPr>
          <w:ilvl w:val="0"/>
          <w:numId w:val="1"/>
        </w:numPr>
        <w:spacing w:after="60" w:before="60"/>
        <w:ind w:left="360"/>
      </w:pPr>
      <w:r>
        <w:t xml:space="preserve">Is this still used and still needed?</w:t>
      </w:r>
    </w:p>
    <w:p>
      <w:pPr>
        <w:pStyle w:val="ListParagraph"/>
        <w:numPr>
          <w:ilvl w:val="0"/>
          <w:numId w:val="1"/>
        </w:numPr>
        <w:spacing w:after="60" w:before="60"/>
        <w:ind w:left="360"/>
      </w:pPr>
      <w:r>
        <w:t xml:space="preserve">Is it working the way the business wants, or is it a workaround for an Access limitation?</w:t>
      </w:r>
    </w:p>
    <w:p>
      <w:pPr>
        <w:pStyle w:val="ListParagraph"/>
        <w:numPr>
          <w:ilvl w:val="0"/>
          <w:numId w:val="1"/>
        </w:numPr>
        <w:spacing w:after="60" w:before="60"/>
        <w:ind w:left="360"/>
      </w:pPr>
      <w:r>
        <w:t xml:space="preserve">Would the business benefit from doing this differently in a modern platform?</w:t>
      </w:r>
    </w:p>
    <w:p>
      <w:pPr>
        <w:spacing w:after="100" w:before="100"/>
      </w:pPr>
      <w:r>
        <w:t xml:space="preserve">Migration is a rare chance to remove years of accumulated cruft. Resist the urge to copy the old system screen for screen. Rebuild what adds value and retire what does not.</w:t>
      </w:r>
    </w:p>
    <w:p>
      <w:pPr>
        <w:spacing w:after="100" w:before="100"/>
      </w:pPr>
      <w:r>
        <w:t xml:space="preserve">The output of this step is a clear scope: the tables, apps, automations and reports the new system will include. This is what a consultancy will price against, so the more precise it is, the more accurate your fixed cost will be.</w:t>
      </w:r>
    </w:p>
    <w:p>
      <w:pPr>
        <w:pStyle w:val="Heading2"/>
        <w:spacing w:after="160" w:before="360"/>
      </w:pPr>
      <w:r>
        <w:rPr>
          <w:b/>
          <w:bCs/>
          <w:color w:val="4169E1"/>
          <w:sz w:val="36"/>
          <w:szCs w:val="36"/>
        </w:rPr>
        <w:t xml:space="preserve">Step 2: Design the Dataverse Data Model</w:t>
      </w:r>
    </w:p>
    <w:p>
      <w:pPr>
        <w:spacing w:after="100" w:before="100"/>
      </w:pPr>
      <w:r>
        <w:t xml:space="preserve">Dataverse is the cloud database that replaces the Access data engine. Getting the model right here is the foundation everything else sits on.</w:t>
      </w:r>
    </w:p>
    <w:p>
      <w:pPr>
        <w:spacing w:after="100" w:before="100"/>
      </w:pPr>
      <w:r>
        <w:t xml:space="preserve">Map each Access table to a Dataverse table. Along the way, apply the structure Access could never properly enforce:</w:t>
      </w:r>
    </w:p>
    <w:p>
      <w:pPr>
        <w:pStyle w:val="ListParagraph"/>
        <w:numPr>
          <w:ilvl w:val="0"/>
          <w:numId w:val="1"/>
        </w:numPr>
        <w:spacing w:after="60" w:before="60"/>
        <w:ind w:left="360"/>
      </w:pPr>
      <w:r>
        <w:rPr>
          <w:b/>
          <w:bCs/>
        </w:rPr>
        <w:t xml:space="preserve">Relationships</w:t>
      </w:r>
      <w:r>
        <w:t xml:space="preserve"> between tables become real, enforced connections rather than loose joins.</w:t>
      </w:r>
    </w:p>
    <w:p>
      <w:pPr>
        <w:pStyle w:val="ListParagraph"/>
        <w:numPr>
          <w:ilvl w:val="0"/>
          <w:numId w:val="1"/>
        </w:numPr>
        <w:spacing w:after="60" w:before="60"/>
        <w:ind w:left="360"/>
      </w:pPr>
      <w:r>
        <w:rPr>
          <w:b/>
          <w:bCs/>
        </w:rPr>
        <w:t xml:space="preserve">Data types</w:t>
      </w:r>
      <w:r>
        <w:t xml:space="preserve"> are set correctly, so dates are dates and numbers are numbers.</w:t>
      </w:r>
    </w:p>
    <w:p>
      <w:pPr>
        <w:pStyle w:val="ListParagraph"/>
        <w:numPr>
          <w:ilvl w:val="0"/>
          <w:numId w:val="1"/>
        </w:numPr>
        <w:spacing w:after="60" w:before="60"/>
        <w:ind w:left="360"/>
      </w:pPr>
      <w:r>
        <w:rPr>
          <w:b/>
          <w:bCs/>
        </w:rPr>
        <w:t xml:space="preserve">Validation rules</w:t>
      </w:r>
      <w:r>
        <w:t xml:space="preserve"> stop bad data being entered in the first place.</w:t>
      </w:r>
    </w:p>
    <w:p>
      <w:pPr>
        <w:pStyle w:val="ListParagraph"/>
        <w:numPr>
          <w:ilvl w:val="0"/>
          <w:numId w:val="1"/>
        </w:numPr>
        <w:spacing w:after="60" w:before="60"/>
        <w:ind w:left="360"/>
      </w:pPr>
      <w:r>
        <w:rPr>
          <w:b/>
          <w:bCs/>
        </w:rPr>
        <w:t xml:space="preserve">Choice fields</w:t>
      </w:r>
      <w:r>
        <w:t xml:space="preserve"> replace free-text columns that should only ever hold a fixed set of values.</w:t>
      </w:r>
    </w:p>
    <w:p>
      <w:pPr>
        <w:spacing w:after="100" w:before="100"/>
      </w:pPr>
      <w:r>
        <w:t xml:space="preserve">This is also where you design security. Dataverse lets you control who can see and edit what, down to individual records, using Microsoft Entra ID. Decide your roles now: who are the administrators, the standard users, the read-only viewers.</w:t>
      </w:r>
    </w:p>
    <w:p>
      <w:pPr>
        <w:spacing w:after="100" w:before="100"/>
      </w:pPr>
      <w:r>
        <w:t xml:space="preserve">A well-designed Dataverse model is the difference between a system that lasts a decade and one that becomes the next thing you need to migrate away from.</w:t>
      </w:r>
    </w:p>
    <w:p>
      <w:pPr>
        <w:pStyle w:val="Heading2"/>
        <w:spacing w:after="160" w:before="360"/>
      </w:pPr>
      <w:r>
        <w:rPr>
          <w:b/>
          <w:bCs/>
          <w:color w:val="4169E1"/>
          <w:sz w:val="36"/>
          <w:szCs w:val="36"/>
        </w:rPr>
        <w:t xml:space="preserve">Step 3: Migrate and Clean the Data</w:t>
      </w:r>
    </w:p>
    <w:p>
      <w:pPr>
        <w:spacing w:after="100" w:before="100"/>
      </w:pPr>
      <w:r>
        <w:t xml:space="preserve">Years of use leave their mark on an Access database. Duplicate customers, inconsistent spellings, dead records and half-finished entries all accumulate over time. Migration is your opportunity to clean house.</w:t>
      </w:r>
    </w:p>
    <w:p>
      <w:pPr>
        <w:spacing w:after="100" w:before="100"/>
      </w:pPr>
      <w:r>
        <w:t xml:space="preserve">The process runs in three passes:</w:t>
      </w:r>
    </w:p>
    <w:p>
      <w:pPr>
        <w:spacing w:after="100" w:before="100"/>
      </w:pPr>
      <w:r>
        <w:t xml:space="preserve">1. </w:t>
      </w:r>
      <w:r>
        <w:rPr>
          <w:b/>
          <w:bCs/>
        </w:rPr>
        <w:t xml:space="preserve">Extract</w:t>
      </w:r>
      <w:r>
        <w:t xml:space="preserve"> the data from Access, usually to a staging format such as Excel or CSV.</w:t>
      </w:r>
    </w:p>
    <w:p>
      <w:pPr>
        <w:spacing w:after="100" w:before="100"/>
      </w:pPr>
      <w:r>
        <w:t xml:space="preserve">2. </w:t>
      </w:r>
      <w:r>
        <w:rPr>
          <w:b/>
          <w:bCs/>
        </w:rPr>
        <w:t xml:space="preserve">Clean</w:t>
      </w:r>
      <w:r>
        <w:t xml:space="preserve"> it: de-duplicate, standardise formats, fill or flag missing values and remove anything obsolete.</w:t>
      </w:r>
    </w:p>
    <w:p>
      <w:pPr>
        <w:spacing w:after="100" w:before="100"/>
      </w:pPr>
      <w:r>
        <w:t xml:space="preserve">3. </w:t>
      </w:r>
      <w:r>
        <w:rPr>
          <w:b/>
          <w:bCs/>
        </w:rPr>
        <w:t xml:space="preserve">Load</w:t>
      </w:r>
      <w:r>
        <w:t xml:space="preserve"> the clean data into Dataverse, respecting the relationships you designed in Step 2.</w:t>
      </w:r>
    </w:p>
    <w:p>
      <w:pPr>
        <w:spacing w:after="100" w:before="100"/>
      </w:pPr>
      <w:r>
        <w:t xml:space="preserve">Always migrate a test batch first and check it carefully before running the full load. And keep the original Access file untouched as a reference until the new system is fully live and signed off.</w:t>
      </w:r>
    </w:p>
    <w:p>
      <w:pPr>
        <w:pStyle w:val="Heading2"/>
        <w:spacing w:after="160" w:before="360"/>
      </w:pPr>
      <w:r>
        <w:rPr>
          <w:b/>
          <w:bCs/>
          <w:color w:val="4169E1"/>
          <w:sz w:val="36"/>
          <w:szCs w:val="36"/>
        </w:rPr>
        <w:t xml:space="preserve">Step 4: Rebuild the Apps and Automation</w:t>
      </w:r>
    </w:p>
    <w:p>
      <w:pPr>
        <w:spacing w:after="100" w:before="100"/>
      </w:pPr>
      <w:r>
        <w:t xml:space="preserve">Now the system comes to life. Access forms become Power Apps, and macros become Power Automate flows.</w:t>
      </w:r>
    </w:p>
    <w:p>
      <w:pPr>
        <w:spacing w:after="100" w:before="100"/>
      </w:pPr>
      <w:r>
        <w:rPr>
          <w:b/>
          <w:bCs/>
        </w:rPr>
        <w:t xml:space="preserve">Forms to Power Apps.</w:t>
      </w:r>
      <w:r>
        <w:t xml:space="preserve"> Recreate each screen as a modern app. Use a model-driven app for structured, data-heavy work such as order entry, and a canvas app where you need a tailored layout or mobile use such as field data capture. This is the point at which the user experience improves, so design for how people actually work rather than copying the old form pixel for pixel.</w:t>
      </w:r>
    </w:p>
    <w:p>
      <w:pPr>
        <w:spacing w:after="100" w:before="100"/>
      </w:pPr>
      <w:r>
        <w:rPr>
          <w:b/>
          <w:bCs/>
        </w:rPr>
        <w:t xml:space="preserve">Macros to Power Automate.</w:t>
      </w:r>
      <w:r>
        <w:t xml:space="preserve"> Every automated step in Access, whether it sends an email, updates a record or runs a calculation, is rebuilt as a Power Automate flow. Flows are more capable than Access macros: they can connect to Outlook, Teams, SharePoint and hundreds of other services, and they run in the cloud whether or not anyone has the app open.</w:t>
      </w:r>
    </w:p>
    <w:p>
      <w:pPr>
        <w:spacing w:after="100" w:before="100"/>
      </w:pPr>
      <w:r>
        <w:rPr>
          <w:b/>
          <w:bCs/>
        </w:rPr>
        <w:t xml:space="preserve">Reports to Power BI.</w:t>
      </w:r>
      <w:r>
        <w:t xml:space="preserve"> Static Access reports become live Power BI dashboards that refresh on their own, giving managers real-time visibility instead of weekly exports.</w:t>
      </w:r>
    </w:p>
    <w:p>
      <w:pPr>
        <w:spacing w:after="100" w:before="100"/>
      </w:pPr>
      <w:r>
        <w:t xml:space="preserve">Build in small, testable pieces rather than trying to complete everything at once.</w:t>
      </w:r>
    </w:p>
    <w:p>
      <w:pPr>
        <w:pStyle w:val="Heading2"/>
        <w:spacing w:after="160" w:before="360"/>
      </w:pPr>
      <w:r>
        <w:rPr>
          <w:b/>
          <w:bCs/>
          <w:color w:val="4169E1"/>
          <w:sz w:val="36"/>
          <w:szCs w:val="36"/>
        </w:rPr>
        <w:t xml:space="preserve">Step 5: Test in Parallel</w:t>
      </w:r>
    </w:p>
    <w:p>
      <w:pPr>
        <w:spacing w:after="100" w:before="100"/>
      </w:pPr>
      <w:r>
        <w:t xml:space="preserve">Do not switch off Access the moment the new system is built. Run the two side by side for a short period and compare results.</w:t>
      </w:r>
    </w:p>
    <w:p>
      <w:pPr>
        <w:spacing w:after="100" w:before="100"/>
      </w:pPr>
      <w:r>
        <w:t xml:space="preserve">Enter the same data in both, run the same reports, and confirm the numbers match. Have a handful of real users work in the new system on real tasks and gather their feedback. This parallel run is your safety net: it catches gaps before they affect the business and gives users confidence in the replacement.</w:t>
      </w:r>
    </w:p>
    <w:p>
      <w:pPr>
        <w:spacing w:after="100" w:before="100"/>
      </w:pPr>
      <w:r>
        <w:t xml:space="preserve">Keep a simple log of issues found and fixed. When that log goes quiet, you are ready to go live.</w:t>
      </w:r>
    </w:p>
    <w:p>
      <w:pPr>
        <w:pStyle w:val="Heading2"/>
        <w:spacing w:after="160" w:before="360"/>
      </w:pPr>
      <w:r>
        <w:rPr>
          <w:b/>
          <w:bCs/>
          <w:color w:val="4169E1"/>
          <w:sz w:val="36"/>
          <w:szCs w:val="36"/>
        </w:rPr>
        <w:t xml:space="preserve">Step 6: Train Users and Go Live</w:t>
      </w:r>
    </w:p>
    <w:p>
      <w:pPr>
        <w:spacing w:after="100" w:before="100"/>
      </w:pPr>
      <w:r>
        <w:t xml:space="preserve">Technology rarely fails a migration. Adoption does. A system nobody trusts or knows how to use will be worked around no matter how good it is.</w:t>
      </w:r>
    </w:p>
    <w:p>
      <w:pPr>
        <w:spacing w:after="100" w:before="100"/>
      </w:pPr>
      <w:r>
        <w:t xml:space="preserve">Plan a proper cutover:</w:t>
      </w:r>
    </w:p>
    <w:p>
      <w:pPr>
        <w:pStyle w:val="ListParagraph"/>
        <w:numPr>
          <w:ilvl w:val="0"/>
          <w:numId w:val="1"/>
        </w:numPr>
        <w:spacing w:after="60" w:before="60"/>
        <w:ind w:left="360"/>
      </w:pPr>
      <w:r>
        <w:rPr>
          <w:b/>
          <w:bCs/>
        </w:rPr>
        <w:t xml:space="preserve">Train users</w:t>
      </w:r>
      <w:r>
        <w:t xml:space="preserve"> on the new apps before go-live, ideally with hands-on sessions using their real data.</w:t>
      </w:r>
    </w:p>
    <w:p>
      <w:pPr>
        <w:pStyle w:val="ListParagraph"/>
        <w:numPr>
          <w:ilvl w:val="0"/>
          <w:numId w:val="1"/>
        </w:numPr>
        <w:spacing w:after="60" w:before="60"/>
        <w:ind w:left="360"/>
      </w:pPr>
      <w:r>
        <w:rPr>
          <w:b/>
          <w:bCs/>
        </w:rPr>
        <w:t xml:space="preserve">Provide quick-reference material</w:t>
      </w:r>
      <w:r>
        <w:t xml:space="preserve"> so people can help themselves.</w:t>
      </w:r>
    </w:p>
    <w:p>
      <w:pPr>
        <w:pStyle w:val="ListParagraph"/>
        <w:numPr>
          <w:ilvl w:val="0"/>
          <w:numId w:val="1"/>
        </w:numPr>
        <w:spacing w:after="60" w:before="60"/>
        <w:ind w:left="360"/>
      </w:pPr>
      <w:r>
        <w:rPr>
          <w:b/>
          <w:bCs/>
        </w:rPr>
        <w:t xml:space="preserve">Set a clear switch-off date</w:t>
      </w:r>
      <w:r>
        <w:t xml:space="preserve"> for the Access file and communicate it well in advance.</w:t>
      </w:r>
    </w:p>
    <w:p>
      <w:pPr>
        <w:pStyle w:val="ListParagraph"/>
        <w:numPr>
          <w:ilvl w:val="0"/>
          <w:numId w:val="1"/>
        </w:numPr>
        <w:spacing w:after="60" w:before="60"/>
        <w:ind w:left="360"/>
      </w:pPr>
      <w:r>
        <w:rPr>
          <w:b/>
          <w:bCs/>
        </w:rPr>
        <w:t xml:space="preserve">Have support on hand</w:t>
      </w:r>
      <w:r>
        <w:t xml:space="preserve"> in the first weeks, when questions peak.</w:t>
      </w:r>
    </w:p>
    <w:p>
      <w:pPr>
        <w:pStyle w:val="ListParagraph"/>
        <w:numPr>
          <w:ilvl w:val="0"/>
          <w:numId w:val="1"/>
        </w:numPr>
        <w:spacing w:after="60" w:before="60"/>
        <w:ind w:left="360"/>
      </w:pPr>
      <w:r>
        <w:rPr>
          <w:b/>
          <w:bCs/>
        </w:rPr>
        <w:t xml:space="preserve">Archive the Access file</w:t>
      </w:r>
      <w:r>
        <w:t xml:space="preserve"> in a safe, read-only location. Do not delete it, but do not let anyone keep using it either.</w:t>
      </w:r>
    </w:p>
    <w:p>
      <w:pPr>
        <w:spacing w:after="100" w:before="100"/>
      </w:pPr>
      <w:r>
        <w:t xml:space="preserve">Once users are working confidently in Power Platform and the parallel run has been clean, retire the Access database for good.</w:t>
      </w:r>
    </w:p>
    <w:p>
      <w:pPr>
        <w:pStyle w:val="Heading2"/>
        <w:spacing w:after="160" w:before="360"/>
      </w:pPr>
      <w:r>
        <w:rPr>
          <w:b/>
          <w:bCs/>
          <w:color w:val="4169E1"/>
          <w:sz w:val="36"/>
          <w:szCs w:val="36"/>
        </w:rPr>
        <w:t xml:space="preserve">Common Pitfalls to Avoid</w:t>
      </w:r>
    </w:p>
    <w:p>
      <w:pPr>
        <w:pStyle w:val="ListParagraph"/>
        <w:numPr>
          <w:ilvl w:val="0"/>
          <w:numId w:val="1"/>
        </w:numPr>
        <w:spacing w:after="60" w:before="60"/>
        <w:ind w:left="360"/>
      </w:pPr>
      <w:r>
        <w:rPr>
          <w:b/>
          <w:bCs/>
        </w:rPr>
        <w:t xml:space="preserve">Copying Access exactly.</w:t>
      </w:r>
      <w:r>
        <w:t xml:space="preserve"> The old design was shaped by Access limitations. Rebuild for the business, not for the past.</w:t>
      </w:r>
    </w:p>
    <w:p>
      <w:pPr>
        <w:pStyle w:val="ListParagraph"/>
        <w:numPr>
          <w:ilvl w:val="0"/>
          <w:numId w:val="1"/>
        </w:numPr>
        <w:spacing w:after="60" w:before="60"/>
        <w:ind w:left="360"/>
      </w:pPr>
      <w:r>
        <w:rPr>
          <w:b/>
          <w:bCs/>
        </w:rPr>
        <w:t xml:space="preserve">Skipping data cleaning.</w:t>
      </w:r>
      <w:r>
        <w:t xml:space="preserve"> Migrating dirty data just moves the problem into a shiny new system.</w:t>
      </w:r>
    </w:p>
    <w:p>
      <w:pPr>
        <w:pStyle w:val="ListParagraph"/>
        <w:numPr>
          <w:ilvl w:val="0"/>
          <w:numId w:val="1"/>
        </w:numPr>
        <w:spacing w:after="60" w:before="60"/>
        <w:ind w:left="360"/>
      </w:pPr>
      <w:r>
        <w:rPr>
          <w:b/>
          <w:bCs/>
        </w:rPr>
        <w:t xml:space="preserve">Underestimating the macros.</w:t>
      </w:r>
      <w:r>
        <w:t xml:space="preserve"> The automation behind the buttons is often more complex than it looks. Inventory it carefully.</w:t>
      </w:r>
    </w:p>
    <w:p>
      <w:pPr>
        <w:pStyle w:val="ListParagraph"/>
        <w:numPr>
          <w:ilvl w:val="0"/>
          <w:numId w:val="1"/>
        </w:numPr>
        <w:spacing w:after="60" w:before="60"/>
        <w:ind w:left="360"/>
      </w:pPr>
      <w:r>
        <w:rPr>
          <w:b/>
          <w:bCs/>
        </w:rPr>
        <w:t xml:space="preserve">No parallel run.</w:t>
      </w:r>
      <w:r>
        <w:t xml:space="preserve"> Switching over cold is how businesses get caught out. Always compare old and new before cutting off Access.</w:t>
      </w:r>
    </w:p>
    <w:p>
      <w:pPr>
        <w:pStyle w:val="ListParagraph"/>
        <w:numPr>
          <w:ilvl w:val="0"/>
          <w:numId w:val="1"/>
        </w:numPr>
        <w:spacing w:after="60" w:before="60"/>
        <w:ind w:left="360"/>
      </w:pPr>
      <w:r>
        <w:rPr>
          <w:b/>
          <w:bCs/>
        </w:rPr>
        <w:t xml:space="preserve">Neglecting training.</w:t>
      </w:r>
      <w:r>
        <w:t xml:space="preserve"> Budget as much attention for adoption as for build.</w:t>
      </w:r>
    </w:p>
    <w:p>
      <w:pPr>
        <w:pStyle w:val="Heading2"/>
        <w:spacing w:after="160" w:before="360"/>
      </w:pPr>
      <w:r>
        <w:rPr>
          <w:b/>
          <w:bCs/>
          <w:color w:val="4169E1"/>
          <w:sz w:val="36"/>
          <w:szCs w:val="36"/>
        </w:rPr>
        <w:t xml:space="preserve">What About Licensing?</w:t>
      </w:r>
    </w:p>
    <w:p>
      <w:pPr>
        <w:spacing w:after="100" w:before="100"/>
      </w:pPr>
      <w:r>
        <w:t xml:space="preserve">Many UK organisations are surprised to learn how affordable Power Platform licensing can be. If you already use Microsoft 365, you may hold some Power Platform rights already. Beyond that, a per-app plan (around £4 per user per app per month) or a per-user plan covers most business applications. Our dedicated Power Platform licensing guide breaks down the options and how to keep costs down.</w:t>
      </w:r>
    </w:p>
    <w:p>
      <w:pPr>
        <w:pStyle w:val="Heading2"/>
        <w:spacing w:after="160" w:before="360"/>
      </w:pPr>
      <w:r>
        <w:rPr>
          <w:b/>
          <w:bCs/>
          <w:color w:val="4169E1"/>
          <w:sz w:val="36"/>
          <w:szCs w:val="36"/>
        </w:rPr>
        <w:t xml:space="preserve">Your Migration Checklist</w:t>
      </w:r>
    </w:p>
    <w:p>
      <w:pPr>
        <w:spacing w:after="100" w:before="100"/>
      </w:pPr>
      <w:r>
        <w:t xml:space="preserve">Use this as a one-page summary of the journey:</w:t>
      </w:r>
    </w:p>
    <w:p>
      <w:pPr>
        <w:pStyle w:val="ListParagraph"/>
        <w:numPr>
          <w:ilvl w:val="0"/>
          <w:numId w:val="1"/>
        </w:numPr>
        <w:spacing w:after="60" w:before="60"/>
        <w:ind w:left="360"/>
      </w:pPr>
      <w:r>
        <w:t xml:space="preserve">Inventory the Access tables, forms, queries, macros and reports.</w:t>
      </w:r>
    </w:p>
    <w:p>
      <w:pPr>
        <w:pStyle w:val="ListParagraph"/>
        <w:numPr>
          <w:ilvl w:val="0"/>
          <w:numId w:val="1"/>
        </w:numPr>
        <w:spacing w:after="60" w:before="60"/>
        <w:ind w:left="360"/>
      </w:pPr>
      <w:r>
        <w:t xml:space="preserve">Scope the new system around business needs, not old habits.</w:t>
      </w:r>
    </w:p>
    <w:p>
      <w:pPr>
        <w:pStyle w:val="ListParagraph"/>
        <w:numPr>
          <w:ilvl w:val="0"/>
          <w:numId w:val="1"/>
        </w:numPr>
        <w:spacing w:after="60" w:before="60"/>
        <w:ind w:left="360"/>
      </w:pPr>
      <w:r>
        <w:t xml:space="preserve">Design a proper relational Dataverse model with validation and security.</w:t>
      </w:r>
    </w:p>
    <w:p>
      <w:pPr>
        <w:pStyle w:val="ListParagraph"/>
        <w:numPr>
          <w:ilvl w:val="0"/>
          <w:numId w:val="1"/>
        </w:numPr>
        <w:spacing w:after="60" w:before="60"/>
        <w:ind w:left="360"/>
      </w:pPr>
      <w:r>
        <w:t xml:space="preserve">Extract, clean and load the data, testing a batch first.</w:t>
      </w:r>
    </w:p>
    <w:p>
      <w:pPr>
        <w:pStyle w:val="ListParagraph"/>
        <w:numPr>
          <w:ilvl w:val="0"/>
          <w:numId w:val="1"/>
        </w:numPr>
        <w:spacing w:after="60" w:before="60"/>
        <w:ind w:left="360"/>
      </w:pPr>
      <w:r>
        <w:t xml:space="preserve">Rebuild forms as Power Apps, macros as Power Automate, reports as Power BI.</w:t>
      </w:r>
    </w:p>
    <w:p>
      <w:pPr>
        <w:pStyle w:val="ListParagraph"/>
        <w:numPr>
          <w:ilvl w:val="0"/>
          <w:numId w:val="1"/>
        </w:numPr>
        <w:spacing w:after="60" w:before="60"/>
        <w:ind w:left="360"/>
      </w:pPr>
      <w:r>
        <w:t xml:space="preserve">Run the old and new systems in parallel and compare.</w:t>
      </w:r>
    </w:p>
    <w:p>
      <w:pPr>
        <w:pStyle w:val="ListParagraph"/>
        <w:numPr>
          <w:ilvl w:val="0"/>
          <w:numId w:val="1"/>
        </w:numPr>
        <w:spacing w:after="60" w:before="60"/>
        <w:ind w:left="360"/>
      </w:pPr>
      <w:r>
        <w:t xml:space="preserve">Train users, set a switch-off date and go live with support in place.</w:t>
      </w:r>
    </w:p>
    <w:p>
      <w:pPr>
        <w:pStyle w:val="ListParagraph"/>
        <w:numPr>
          <w:ilvl w:val="0"/>
          <w:numId w:val="1"/>
        </w:numPr>
        <w:spacing w:after="60" w:before="60"/>
        <w:ind w:left="360"/>
      </w:pPr>
      <w:r>
        <w:t xml:space="preserve">Archive the Access file read-only once the new system is signed off.</w:t>
      </w:r>
    </w:p>
    <w:p>
      <w:pPr>
        <w:pStyle w:val="Heading2"/>
        <w:spacing w:after="160" w:before="360"/>
      </w:pPr>
      <w:r>
        <w:rPr>
          <w:b/>
          <w:bCs/>
          <w:color w:val="4169E1"/>
          <w:sz w:val="36"/>
          <w:szCs w:val="36"/>
        </w:rPr>
        <w:t xml:space="preserve">Getting Help</w:t>
      </w:r>
    </w:p>
    <w:p>
      <w:pPr>
        <w:spacing w:after="100" w:before="100"/>
      </w:pPr>
      <w:r>
        <w:t xml:space="preserve">An Access migration is very achievable, but a business-critical database is not something most teams want to learn on. If you would like an experienced UK Power Platform consultancy to assess your Access application and give you a fixed scope, we are happy to help. The first conversation is free and often clarifies more than weeks of internal debate.</w:t>
      </w:r>
    </w:p>
    <w:p>
      <w:pPr>
        <w:pBdr>
          <w:top w:val="single" w:color="CCCCCC" w:sz="1"/>
        </w:pBdr>
        <w:spacing w:after="120" w:before="600"/>
      </w:pPr>
    </w:p>
    <w:p>
      <w:pPr>
        <w:jc w:val="center"/>
      </w:pPr>
      <w:r>
        <w:rPr>
          <w:color w:val="999999"/>
          <w:sz w:val="18"/>
          <w:szCs w:val="18"/>
        </w:rPr>
        <w:t xml:space="preserve">© Power Platform MS  |  powerplatformms.co.uk</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6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2026-08-19T11:02:25.691Z</dcterms:created>
  <dcterms:modified xsi:type="dcterms:W3CDTF">2026-08-19T11:02:25.691Z</dcterms:modified>
</cp:coreProperties>
</file>

<file path=docProps/custom.xml><?xml version="1.0" encoding="utf-8"?>
<Properties xmlns="http://schemas.openxmlformats.org/officeDocument/2006/custom-properties" xmlns:vt="http://schemas.openxmlformats.org/officeDocument/2006/docPropsVTypes"/>
</file>